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312" w:afterLines="100" w:line="480" w:lineRule="auto"/>
        <w:ind w:firstLine="0" w:firstLineChars="0"/>
        <w:jc w:val="center"/>
        <w:rPr>
          <w:rFonts w:hint="eastAsia" w:asciiTheme="majorEastAsia" w:hAnsiTheme="majorEastAsia" w:eastAsiaTheme="majorEastAsia"/>
          <w:b/>
          <w:sz w:val="38"/>
          <w:szCs w:val="38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highlight w:val="none"/>
          <w:lang w:eastAsia="zh-CN"/>
        </w:rPr>
        <w:t>江津建筑垃圾资源化利用基地项目</w:t>
      </w:r>
      <w:r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highlight w:val="none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highlight w:val="none"/>
          <w:lang w:eastAsia="zh-CN"/>
        </w:rPr>
        <w:t>筒仓提升输送系统</w:t>
      </w:r>
      <w:r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highlight w:val="none"/>
        </w:rPr>
        <w:t>专业分包工程</w:t>
      </w:r>
      <w:r>
        <w:rPr>
          <w:rFonts w:hint="eastAsia" w:asciiTheme="majorEastAsia" w:hAnsiTheme="majorEastAsia" w:eastAsiaTheme="majorEastAsia"/>
          <w:b/>
          <w:sz w:val="38"/>
          <w:szCs w:val="38"/>
        </w:rPr>
        <w:t>招标答疑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</w:rPr>
        <w:t>投标人资信能力要求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方面，要求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具备建设行政主管部门颁发的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筒仓提升输送系统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工程专业承包一级资质。</w:t>
      </w: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答：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本项目对此部分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资质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要求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不做强制性要求。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rPr>
          <w:rFonts w:hint="eastAsia" w:eastAsiaTheme="minorEastAsia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highlight w:val="none"/>
        </w:rPr>
        <w:t>工期安排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highlight w:val="none"/>
          <w:u w:val="none"/>
        </w:rPr>
        <w:t>总工期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highlight w:val="none"/>
          <w:u w:val="none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highlight w:val="none"/>
          <w:u w:val="none"/>
        </w:rPr>
        <w:t>日历天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highlight w:val="none"/>
          <w:u w:val="none"/>
          <w:lang w:eastAsia="zh-CN"/>
        </w:rPr>
        <w:t>。</w:t>
      </w: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答：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本项目的工期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暂定为75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eastAsia="zh-CN"/>
        </w:rPr>
        <w:t>日历天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。</w:t>
      </w:r>
      <w:bookmarkStart w:id="0" w:name="_GoBack"/>
      <w:bookmarkEnd w:id="0"/>
    </w:p>
    <w:p>
      <w:pPr>
        <w:rPr>
          <w:rFonts w:hint="default" w:eastAsiaTheme="minorEastAsia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</w:rPr>
        <w:t>付款方式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</w:rPr>
        <w:t>工程进度款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中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预付款：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  <w:lang w:eastAsia="zh-CN"/>
        </w:rPr>
        <w:t>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none"/>
          <w:lang w:val="en-US" w:eastAsia="zh-CN"/>
        </w:rPr>
        <w:t>的约定。</w:t>
      </w:r>
    </w:p>
    <w:p>
      <w:pPr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答：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本项目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</w:rPr>
        <w:t>付款方式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中，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  <w:t>预付款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暂定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>为20%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>。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highlight w:val="none"/>
        </w:rPr>
        <w:t>投标截止日期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highlight w:val="none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highlight w:val="none"/>
          <w:u w:val="single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highlight w:val="none"/>
          <w:u w:val="single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highlight w:val="none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highlight w:val="none"/>
        </w:rPr>
        <w:t>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上午10:00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highlight w:val="none"/>
        </w:rPr>
        <w:t>（时间）前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rPr>
          <w:rFonts w:hint="default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答：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</w:rPr>
        <w:t>投标截止日期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u w:val="single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u w:val="single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u w:val="single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</w:rPr>
        <w:t>日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上午10:00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</w:rPr>
        <w:t>（时间）前</w:t>
      </w:r>
    </w:p>
    <w:p>
      <w:pPr>
        <w:pStyle w:val="5"/>
        <w:spacing w:after="312" w:afterLines="100" w:line="240" w:lineRule="auto"/>
        <w:ind w:firstLine="0" w:firstLineChars="0"/>
        <w:jc w:val="left"/>
        <w:rPr>
          <w:rFonts w:hint="eastAsia" w:asciiTheme="majorEastAsia" w:hAnsiTheme="majorEastAsia" w:eastAsiaTheme="majorEastAsia"/>
          <w:b w:val="0"/>
          <w:bCs/>
          <w:sz w:val="24"/>
          <w:szCs w:val="24"/>
          <w:lang w:val="en-US" w:eastAsia="zh-CN"/>
        </w:rPr>
      </w:pPr>
    </w:p>
    <w:p>
      <w:pPr>
        <w:spacing w:line="24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ABB"/>
    <w:multiLevelType w:val="singleLevel"/>
    <w:tmpl w:val="016D6AB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D2E45"/>
    <w:rsid w:val="3AEA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1"/>
    <w:basedOn w:val="1"/>
    <w:qFormat/>
    <w:uiPriority w:val="0"/>
    <w:pPr>
      <w:ind w:firstLine="420" w:firstLineChars="200"/>
    </w:pPr>
    <w:rPr>
      <w:rFonts w:eastAsia="仿宋_GB2312"/>
      <w:kern w:val="0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2020-11-05T13:39:00Z</dcterms:created>
  <dc:creator>杨庆</dc:creator>
  <cp:lastModifiedBy>innocence</cp:lastModifiedBy>
  <dcterms:modified xsi:type="dcterms:W3CDTF">2020-11-06T07:03:02Z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